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B6" w:rsidRPr="00F0490C" w:rsidRDefault="007B51B6" w:rsidP="00F0490C">
      <w:pPr>
        <w:spacing w:after="0" w:line="240" w:lineRule="auto"/>
        <w:jc w:val="right"/>
        <w:rPr>
          <w:rFonts w:ascii="Arial" w:hAnsi="Arial" w:cs="Arial"/>
        </w:rPr>
      </w:pPr>
      <w:r w:rsidRPr="00F0490C">
        <w:rPr>
          <w:rFonts w:ascii="Arial" w:hAnsi="Arial" w:cs="Arial"/>
        </w:rPr>
        <w:t>OFICIO</w:t>
      </w:r>
      <w:r w:rsidR="007754CD" w:rsidRPr="00F0490C">
        <w:rPr>
          <w:rFonts w:ascii="Arial" w:hAnsi="Arial" w:cs="Arial"/>
        </w:rPr>
        <w:t>: IDAIP/</w:t>
      </w:r>
      <w:r w:rsidR="006E2CD1">
        <w:rPr>
          <w:rFonts w:ascii="Arial" w:hAnsi="Arial" w:cs="Arial"/>
        </w:rPr>
        <w:t>0</w:t>
      </w:r>
      <w:r w:rsidR="00CB142A">
        <w:rPr>
          <w:rFonts w:ascii="Arial" w:hAnsi="Arial" w:cs="Arial"/>
        </w:rPr>
        <w:t>3</w:t>
      </w:r>
      <w:r w:rsidR="00CF2DB1">
        <w:rPr>
          <w:rFonts w:ascii="Arial" w:hAnsi="Arial" w:cs="Arial"/>
        </w:rPr>
        <w:t>1</w:t>
      </w:r>
      <w:r w:rsidR="00A54B03" w:rsidRPr="00F0490C">
        <w:rPr>
          <w:rFonts w:ascii="Arial" w:hAnsi="Arial" w:cs="Arial"/>
        </w:rPr>
        <w:t>/</w:t>
      </w:r>
      <w:r w:rsidR="00DE1134" w:rsidRPr="00F0490C">
        <w:rPr>
          <w:rFonts w:ascii="Arial" w:hAnsi="Arial" w:cs="Arial"/>
        </w:rPr>
        <w:t>1</w:t>
      </w:r>
      <w:r w:rsidR="00C73A69" w:rsidRPr="00F0490C">
        <w:rPr>
          <w:rFonts w:ascii="Arial" w:hAnsi="Arial" w:cs="Arial"/>
        </w:rPr>
        <w:t>6</w:t>
      </w:r>
    </w:p>
    <w:p w:rsidR="007B51B6" w:rsidRPr="00F0490C" w:rsidRDefault="007B51B6" w:rsidP="00F0490C">
      <w:pPr>
        <w:tabs>
          <w:tab w:val="left" w:pos="3930"/>
        </w:tabs>
        <w:spacing w:after="0" w:line="240" w:lineRule="auto"/>
        <w:jc w:val="right"/>
        <w:rPr>
          <w:rFonts w:ascii="Arial" w:hAnsi="Arial" w:cs="Arial"/>
        </w:rPr>
      </w:pPr>
      <w:r w:rsidRPr="00F0490C">
        <w:rPr>
          <w:rFonts w:ascii="Arial" w:hAnsi="Arial" w:cs="Arial"/>
        </w:rPr>
        <w:t xml:space="preserve">Durango, Dgo., a </w:t>
      </w:r>
      <w:r w:rsidR="000C0A46">
        <w:rPr>
          <w:rFonts w:ascii="Arial" w:hAnsi="Arial" w:cs="Arial"/>
        </w:rPr>
        <w:t>20</w:t>
      </w:r>
      <w:r w:rsidR="00C73A69" w:rsidRPr="00F0490C">
        <w:rPr>
          <w:rFonts w:ascii="Arial" w:hAnsi="Arial" w:cs="Arial"/>
        </w:rPr>
        <w:t xml:space="preserve"> de </w:t>
      </w:r>
      <w:r w:rsidR="00346B8D">
        <w:rPr>
          <w:rFonts w:ascii="Arial" w:hAnsi="Arial" w:cs="Arial"/>
        </w:rPr>
        <w:t>Enero</w:t>
      </w:r>
      <w:r w:rsidR="00C73A69" w:rsidRPr="00F0490C">
        <w:rPr>
          <w:rFonts w:ascii="Arial" w:hAnsi="Arial" w:cs="Arial"/>
        </w:rPr>
        <w:t xml:space="preserve"> de 2016</w:t>
      </w:r>
    </w:p>
    <w:p w:rsidR="007B51B6" w:rsidRPr="00F0490C" w:rsidRDefault="007B51B6" w:rsidP="00F0490C">
      <w:pPr>
        <w:spacing w:line="240" w:lineRule="auto"/>
        <w:jc w:val="both"/>
        <w:rPr>
          <w:rFonts w:ascii="Arial" w:hAnsi="Arial" w:cs="Arial"/>
        </w:rPr>
      </w:pPr>
    </w:p>
    <w:p w:rsidR="007754CD" w:rsidRPr="00F0490C" w:rsidRDefault="002D1BA7" w:rsidP="00F0490C">
      <w:pPr>
        <w:spacing w:after="0" w:line="240" w:lineRule="auto"/>
        <w:jc w:val="both"/>
        <w:rPr>
          <w:rFonts w:ascii="Arial" w:hAnsi="Arial" w:cs="Arial"/>
          <w:b/>
        </w:rPr>
      </w:pPr>
      <w:r w:rsidRPr="00F0490C">
        <w:rPr>
          <w:rFonts w:ascii="Arial" w:hAnsi="Arial" w:cs="Arial"/>
          <w:b/>
        </w:rPr>
        <w:t>C.</w:t>
      </w:r>
      <w:r w:rsidR="00790CB1">
        <w:rPr>
          <w:rFonts w:ascii="Arial" w:hAnsi="Arial" w:cs="Arial"/>
          <w:b/>
        </w:rPr>
        <w:t xml:space="preserve"> SOLICITANTE</w:t>
      </w:r>
      <w:r w:rsidR="007D5D83">
        <w:rPr>
          <w:rFonts w:ascii="Arial" w:hAnsi="Arial" w:cs="Arial"/>
          <w:b/>
        </w:rPr>
        <w:t>.</w:t>
      </w:r>
    </w:p>
    <w:p w:rsidR="007B51B6" w:rsidRPr="00F0490C" w:rsidRDefault="00C6711D" w:rsidP="00F0490C">
      <w:pPr>
        <w:spacing w:after="0" w:line="240" w:lineRule="auto"/>
        <w:jc w:val="both"/>
        <w:rPr>
          <w:rFonts w:ascii="Arial" w:hAnsi="Arial" w:cs="Arial"/>
          <w:b/>
        </w:rPr>
      </w:pPr>
      <w:r w:rsidRPr="00F0490C">
        <w:rPr>
          <w:rFonts w:ascii="Arial" w:hAnsi="Arial" w:cs="Arial"/>
          <w:b/>
        </w:rPr>
        <w:t xml:space="preserve">PRESENTE.- </w:t>
      </w:r>
    </w:p>
    <w:p w:rsidR="007B51B6" w:rsidRPr="00F0490C" w:rsidRDefault="007B51B6" w:rsidP="00F0490C">
      <w:pPr>
        <w:spacing w:after="0" w:line="240" w:lineRule="auto"/>
        <w:jc w:val="both"/>
        <w:rPr>
          <w:rFonts w:ascii="Arial" w:hAnsi="Arial" w:cs="Arial"/>
        </w:rPr>
      </w:pPr>
    </w:p>
    <w:p w:rsidR="006011CF" w:rsidRDefault="006011CF" w:rsidP="00F0490C">
      <w:pPr>
        <w:spacing w:line="240" w:lineRule="auto"/>
        <w:jc w:val="both"/>
        <w:rPr>
          <w:rFonts w:ascii="Arial" w:hAnsi="Arial" w:cs="Arial"/>
        </w:rPr>
      </w:pPr>
    </w:p>
    <w:p w:rsidR="003747F8" w:rsidRPr="00F0490C" w:rsidRDefault="00F52801" w:rsidP="00F0490C">
      <w:pPr>
        <w:spacing w:line="240" w:lineRule="auto"/>
        <w:jc w:val="both"/>
        <w:rPr>
          <w:rFonts w:ascii="Arial" w:hAnsi="Arial" w:cs="Arial"/>
        </w:rPr>
      </w:pPr>
      <w:r w:rsidRPr="00F0490C">
        <w:rPr>
          <w:rFonts w:ascii="Arial" w:hAnsi="Arial" w:cs="Arial"/>
        </w:rPr>
        <w:t xml:space="preserve">En atención a </w:t>
      </w:r>
      <w:r w:rsidR="007B51B6" w:rsidRPr="00F0490C">
        <w:rPr>
          <w:rFonts w:ascii="Arial" w:hAnsi="Arial" w:cs="Arial"/>
        </w:rPr>
        <w:t>su solici</w:t>
      </w:r>
      <w:r w:rsidR="00B02605" w:rsidRPr="00F0490C">
        <w:rPr>
          <w:rFonts w:ascii="Arial" w:hAnsi="Arial" w:cs="Arial"/>
        </w:rPr>
        <w:t>tu</w:t>
      </w:r>
      <w:r w:rsidR="007B51B6" w:rsidRPr="00F0490C">
        <w:rPr>
          <w:rFonts w:ascii="Arial" w:hAnsi="Arial" w:cs="Arial"/>
        </w:rPr>
        <w:t>d de información re</w:t>
      </w:r>
      <w:bookmarkStart w:id="0" w:name="_GoBack"/>
      <w:bookmarkEnd w:id="0"/>
      <w:r w:rsidR="007B51B6" w:rsidRPr="00F0490C">
        <w:rPr>
          <w:rFonts w:ascii="Arial" w:hAnsi="Arial" w:cs="Arial"/>
        </w:rPr>
        <w:t xml:space="preserve">gistrada en el Sistema </w:t>
      </w:r>
      <w:r w:rsidRPr="00F0490C">
        <w:rPr>
          <w:rFonts w:ascii="Arial" w:hAnsi="Arial" w:cs="Arial"/>
        </w:rPr>
        <w:t>INFOMEX-DURANGO</w:t>
      </w:r>
      <w:r w:rsidR="007B51B6" w:rsidRPr="00F0490C">
        <w:rPr>
          <w:rFonts w:ascii="Arial" w:hAnsi="Arial" w:cs="Arial"/>
        </w:rPr>
        <w:t xml:space="preserve">, el día </w:t>
      </w:r>
      <w:r w:rsidR="00C6711D" w:rsidRPr="00F0490C">
        <w:rPr>
          <w:rFonts w:ascii="Arial" w:hAnsi="Arial" w:cs="Arial"/>
        </w:rPr>
        <w:t>1</w:t>
      </w:r>
      <w:r w:rsidR="007D5D83">
        <w:rPr>
          <w:rFonts w:ascii="Arial" w:hAnsi="Arial" w:cs="Arial"/>
        </w:rPr>
        <w:t>9</w:t>
      </w:r>
      <w:r w:rsidR="00C6711D" w:rsidRPr="00F0490C">
        <w:rPr>
          <w:rFonts w:ascii="Arial" w:hAnsi="Arial" w:cs="Arial"/>
        </w:rPr>
        <w:t xml:space="preserve"> de enero de 2016</w:t>
      </w:r>
      <w:r w:rsidR="007B51B6" w:rsidRPr="00F0490C">
        <w:rPr>
          <w:rFonts w:ascii="Arial" w:hAnsi="Arial" w:cs="Arial"/>
        </w:rPr>
        <w:t xml:space="preserve">, a la que se </w:t>
      </w:r>
      <w:r w:rsidR="00B02605" w:rsidRPr="00F0490C">
        <w:rPr>
          <w:rFonts w:ascii="Arial" w:hAnsi="Arial" w:cs="Arial"/>
        </w:rPr>
        <w:t xml:space="preserve">le </w:t>
      </w:r>
      <w:r w:rsidR="007B51B6" w:rsidRPr="00F0490C">
        <w:rPr>
          <w:rFonts w:ascii="Arial" w:hAnsi="Arial" w:cs="Arial"/>
        </w:rPr>
        <w:t>asign</w:t>
      </w:r>
      <w:r w:rsidR="0075092F" w:rsidRPr="00F0490C">
        <w:rPr>
          <w:rFonts w:ascii="Arial" w:hAnsi="Arial" w:cs="Arial"/>
        </w:rPr>
        <w:t>ó</w:t>
      </w:r>
      <w:r w:rsidR="007B51B6" w:rsidRPr="00F0490C">
        <w:rPr>
          <w:rFonts w:ascii="Arial" w:hAnsi="Arial" w:cs="Arial"/>
        </w:rPr>
        <w:t xml:space="preserve"> </w:t>
      </w:r>
      <w:r w:rsidR="0075092F" w:rsidRPr="00F0490C">
        <w:rPr>
          <w:rFonts w:ascii="Arial" w:hAnsi="Arial" w:cs="Arial"/>
        </w:rPr>
        <w:t>el</w:t>
      </w:r>
      <w:r w:rsidR="007B51B6" w:rsidRPr="00F0490C">
        <w:rPr>
          <w:rFonts w:ascii="Arial" w:hAnsi="Arial" w:cs="Arial"/>
        </w:rPr>
        <w:t xml:space="preserve"> número de folio </w:t>
      </w:r>
      <w:r w:rsidR="00C6711D" w:rsidRPr="00F0490C">
        <w:rPr>
          <w:rFonts w:ascii="Arial" w:hAnsi="Arial" w:cs="Arial"/>
        </w:rPr>
        <w:t>0000</w:t>
      </w:r>
      <w:r w:rsidR="00CF2DB1">
        <w:rPr>
          <w:rFonts w:ascii="Arial" w:hAnsi="Arial" w:cs="Arial"/>
        </w:rPr>
        <w:t>61</w:t>
      </w:r>
      <w:r w:rsidR="007D5D83">
        <w:rPr>
          <w:rFonts w:ascii="Arial" w:hAnsi="Arial" w:cs="Arial"/>
        </w:rPr>
        <w:t>-</w:t>
      </w:r>
      <w:r w:rsidR="00C6711D" w:rsidRPr="00F0490C">
        <w:rPr>
          <w:rFonts w:ascii="Arial" w:hAnsi="Arial" w:cs="Arial"/>
        </w:rPr>
        <w:t>16</w:t>
      </w:r>
      <w:r w:rsidR="00B02605" w:rsidRPr="00F0490C">
        <w:rPr>
          <w:rFonts w:ascii="Arial" w:hAnsi="Arial" w:cs="Arial"/>
        </w:rPr>
        <w:t>,</w:t>
      </w:r>
      <w:r w:rsidR="007B51B6" w:rsidRPr="00F0490C">
        <w:rPr>
          <w:rFonts w:ascii="Arial" w:hAnsi="Arial" w:cs="Arial"/>
        </w:rPr>
        <w:t xml:space="preserve"> mediante la </w:t>
      </w:r>
      <w:r w:rsidR="00C73A69" w:rsidRPr="00F0490C">
        <w:rPr>
          <w:rFonts w:ascii="Arial" w:hAnsi="Arial" w:cs="Arial"/>
        </w:rPr>
        <w:t>cual requirió de este Instituto</w:t>
      </w:r>
      <w:r w:rsidR="00C6711D" w:rsidRPr="00F0490C">
        <w:rPr>
          <w:rFonts w:ascii="Arial" w:hAnsi="Arial" w:cs="Arial"/>
        </w:rPr>
        <w:t xml:space="preserve"> lo siguiente</w:t>
      </w:r>
      <w:r w:rsidR="00247FB0" w:rsidRPr="00F0490C">
        <w:rPr>
          <w:rFonts w:ascii="Arial" w:hAnsi="Arial" w:cs="Arial"/>
        </w:rPr>
        <w:t>:</w:t>
      </w:r>
    </w:p>
    <w:p w:rsidR="009B4DAF" w:rsidRPr="009B4DAF" w:rsidRDefault="004A0A52" w:rsidP="00B644A9">
      <w:pPr>
        <w:spacing w:line="240" w:lineRule="auto"/>
        <w:jc w:val="both"/>
        <w:rPr>
          <w:rFonts w:ascii="Arial" w:eastAsia="Times New Roman" w:hAnsi="Arial" w:cs="Arial"/>
          <w:i/>
          <w:color w:val="000000"/>
          <w:lang w:eastAsia="es-MX"/>
        </w:rPr>
      </w:pPr>
      <w:r w:rsidRPr="00F0490C">
        <w:rPr>
          <w:rFonts w:ascii="Arial" w:eastAsia="Times New Roman" w:hAnsi="Arial" w:cs="Arial"/>
          <w:i/>
          <w:color w:val="000000"/>
          <w:lang w:eastAsia="es-MX"/>
        </w:rPr>
        <w:t>“</w:t>
      </w:r>
      <w:r w:rsidR="00CF2DB1">
        <w:rPr>
          <w:rFonts w:ascii="Arial" w:eastAsia="Times New Roman" w:hAnsi="Arial" w:cs="Arial"/>
          <w:i/>
          <w:color w:val="000000"/>
          <w:lang w:eastAsia="es-MX"/>
        </w:rPr>
        <w:t>Que acciones ha llevado a cabo el organismo para asegurar</w:t>
      </w:r>
      <w:r w:rsidR="00AC5717">
        <w:rPr>
          <w:rFonts w:ascii="Arial" w:eastAsia="Times New Roman" w:hAnsi="Arial" w:cs="Arial"/>
          <w:i/>
          <w:color w:val="000000"/>
          <w:lang w:eastAsia="es-MX"/>
        </w:rPr>
        <w:t xml:space="preserve"> el cumplimiento de cada una de estas resoluciones</w:t>
      </w:r>
      <w:proofErr w:type="gramStart"/>
      <w:r w:rsidR="00AC5717">
        <w:rPr>
          <w:rFonts w:ascii="Arial" w:eastAsia="Times New Roman" w:hAnsi="Arial" w:cs="Arial"/>
          <w:i/>
          <w:color w:val="000000"/>
          <w:lang w:eastAsia="es-MX"/>
        </w:rPr>
        <w:t>?</w:t>
      </w:r>
      <w:proofErr w:type="gramEnd"/>
      <w:r w:rsidR="00AC5717">
        <w:rPr>
          <w:rFonts w:ascii="Arial" w:eastAsia="Times New Roman" w:hAnsi="Arial" w:cs="Arial"/>
          <w:i/>
          <w:color w:val="000000"/>
          <w:lang w:eastAsia="es-MX"/>
        </w:rPr>
        <w:t xml:space="preserve"> Solicito la información por cada una de las resoluciones incumplidas durante el durante el 2015.”</w:t>
      </w:r>
    </w:p>
    <w:p w:rsidR="00F0490C" w:rsidRPr="00F0490C" w:rsidRDefault="00F0490C" w:rsidP="00F0490C">
      <w:pPr>
        <w:spacing w:after="0" w:line="240" w:lineRule="auto"/>
        <w:jc w:val="both"/>
        <w:rPr>
          <w:rFonts w:ascii="Arial" w:hAnsi="Arial" w:cs="Arial"/>
        </w:rPr>
      </w:pPr>
      <w:r w:rsidRPr="00F0490C">
        <w:rPr>
          <w:rFonts w:ascii="Arial" w:hAnsi="Arial" w:cs="Arial"/>
        </w:rPr>
        <w:t xml:space="preserve">Sobre el particular, </w:t>
      </w:r>
      <w:r w:rsidRPr="00F0490C">
        <w:rPr>
          <w:rFonts w:ascii="Arial" w:hAnsi="Arial" w:cs="Arial"/>
          <w:b/>
        </w:rPr>
        <w:t>hago de su conocimiento lo siguiente:</w:t>
      </w:r>
    </w:p>
    <w:p w:rsidR="00F0490C" w:rsidRDefault="00F0490C" w:rsidP="00F0490C">
      <w:pPr>
        <w:spacing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3F67D5" w:rsidRPr="005D4D98" w:rsidRDefault="003F67D5" w:rsidP="003F67D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es-ES"/>
        </w:rPr>
      </w:pPr>
      <w:r w:rsidRPr="005D4D98">
        <w:rPr>
          <w:rFonts w:ascii="Arial" w:eastAsia="Times New Roman" w:hAnsi="Arial" w:cs="Arial"/>
          <w:lang w:val="es-ES"/>
        </w:rPr>
        <w:t>El Instituto, para asegurar el cumplimiento de las resoluciones, podrá imponer las siguientes multas a los sujetos obligados directos por las violaciones a la presente ley, de conformidad a lo que dispone el artículo 98 de la Ley de Transparencia y Acceso a la Información Pública del Estado de Durango:</w:t>
      </w:r>
    </w:p>
    <w:p w:rsidR="003F67D5" w:rsidRPr="005D4D98" w:rsidRDefault="003F67D5" w:rsidP="003F67D5">
      <w:pPr>
        <w:numPr>
          <w:ilvl w:val="0"/>
          <w:numId w:val="13"/>
        </w:numPr>
        <w:tabs>
          <w:tab w:val="clear" w:pos="1080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color w:val="000000"/>
        </w:rPr>
      </w:pPr>
      <w:r w:rsidRPr="005D4D98">
        <w:rPr>
          <w:rFonts w:ascii="Arial" w:hAnsi="Arial" w:cs="Arial"/>
          <w:color w:val="000000"/>
        </w:rPr>
        <w:t xml:space="preserve">Multa de </w:t>
      </w:r>
      <w:smartTag w:uri="urn:schemas-microsoft-com:office:smarttags" w:element="metricconverter">
        <w:smartTagPr>
          <w:attr w:name="ProductID" w:val="5 a"/>
        </w:smartTagPr>
        <w:r w:rsidRPr="005D4D98">
          <w:rPr>
            <w:rFonts w:ascii="Arial" w:hAnsi="Arial" w:cs="Arial"/>
            <w:color w:val="000000"/>
          </w:rPr>
          <w:t>5 a</w:t>
        </w:r>
      </w:smartTag>
      <w:r w:rsidRPr="005D4D98">
        <w:rPr>
          <w:rFonts w:ascii="Arial" w:hAnsi="Arial" w:cs="Arial"/>
          <w:color w:val="000000"/>
        </w:rPr>
        <w:t xml:space="preserve"> 150 días de salario por no responder una solicitud de acceso a la información, o de acceso, rectificación, cancelación u oposición de datos personales; o no publique la información pública de oficio que prevé la presente;</w:t>
      </w:r>
    </w:p>
    <w:p w:rsidR="003F67D5" w:rsidRPr="005D4D98" w:rsidRDefault="003F67D5" w:rsidP="003F67D5">
      <w:pPr>
        <w:numPr>
          <w:ilvl w:val="0"/>
          <w:numId w:val="13"/>
        </w:numPr>
        <w:tabs>
          <w:tab w:val="clear" w:pos="1080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color w:val="000000"/>
        </w:rPr>
      </w:pPr>
      <w:r w:rsidRPr="005D4D98">
        <w:rPr>
          <w:rFonts w:ascii="Arial" w:hAnsi="Arial" w:cs="Arial"/>
          <w:color w:val="000000"/>
        </w:rPr>
        <w:t xml:space="preserve">Multa de </w:t>
      </w:r>
      <w:smartTag w:uri="urn:schemas-microsoft-com:office:smarttags" w:element="metricconverter">
        <w:smartTagPr>
          <w:attr w:name="ProductID" w:val="25 a"/>
        </w:smartTagPr>
        <w:r w:rsidRPr="005D4D98">
          <w:rPr>
            <w:rFonts w:ascii="Arial" w:hAnsi="Arial" w:cs="Arial"/>
            <w:color w:val="000000"/>
          </w:rPr>
          <w:t>25 a</w:t>
        </w:r>
      </w:smartTag>
      <w:r w:rsidRPr="005D4D98">
        <w:rPr>
          <w:rFonts w:ascii="Arial" w:hAnsi="Arial" w:cs="Arial"/>
          <w:color w:val="000000"/>
        </w:rPr>
        <w:t xml:space="preserve"> 250 días de salario cuando no rinda contestación al recurso de revisión dentro del término que establece la presente Ley; y,</w:t>
      </w:r>
    </w:p>
    <w:p w:rsidR="003F67D5" w:rsidRPr="005D4D98" w:rsidRDefault="003F67D5" w:rsidP="003F67D5">
      <w:pPr>
        <w:numPr>
          <w:ilvl w:val="0"/>
          <w:numId w:val="13"/>
        </w:numPr>
        <w:tabs>
          <w:tab w:val="clear" w:pos="1080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color w:val="000000"/>
        </w:rPr>
      </w:pPr>
      <w:r w:rsidRPr="005D4D98">
        <w:rPr>
          <w:rFonts w:ascii="Arial" w:hAnsi="Arial" w:cs="Arial"/>
          <w:color w:val="000000"/>
        </w:rPr>
        <w:t xml:space="preserve">Multa de </w:t>
      </w:r>
      <w:smartTag w:uri="urn:schemas-microsoft-com:office:smarttags" w:element="metricconverter">
        <w:smartTagPr>
          <w:attr w:name="ProductID" w:val="50 a"/>
        </w:smartTagPr>
        <w:r w:rsidRPr="005D4D98">
          <w:rPr>
            <w:rFonts w:ascii="Arial" w:hAnsi="Arial" w:cs="Arial"/>
            <w:color w:val="000000"/>
          </w:rPr>
          <w:t>50 a</w:t>
        </w:r>
      </w:smartTag>
      <w:r w:rsidRPr="005D4D98">
        <w:rPr>
          <w:rFonts w:ascii="Arial" w:hAnsi="Arial" w:cs="Arial"/>
          <w:color w:val="000000"/>
        </w:rPr>
        <w:t xml:space="preserve"> 350 días de salario al que incumpla una resolución definitiva del </w:t>
      </w:r>
      <w:r w:rsidR="005A3323">
        <w:rPr>
          <w:rFonts w:ascii="Arial" w:hAnsi="Arial" w:cs="Arial"/>
          <w:color w:val="000000"/>
        </w:rPr>
        <w:t>Instituto</w:t>
      </w:r>
      <w:r w:rsidRPr="005D4D98">
        <w:rPr>
          <w:rFonts w:ascii="Arial" w:hAnsi="Arial" w:cs="Arial"/>
          <w:color w:val="000000"/>
        </w:rPr>
        <w:t>.</w:t>
      </w:r>
    </w:p>
    <w:p w:rsidR="003F67D5" w:rsidRPr="005D4D98" w:rsidRDefault="003F67D5" w:rsidP="003F67D5">
      <w:pPr>
        <w:tabs>
          <w:tab w:val="left" w:pos="-1384"/>
          <w:tab w:val="left" w:pos="-664"/>
          <w:tab w:val="left" w:pos="56"/>
          <w:tab w:val="left" w:pos="776"/>
          <w:tab w:val="left" w:pos="1496"/>
          <w:tab w:val="left" w:pos="2216"/>
          <w:tab w:val="left" w:pos="2936"/>
          <w:tab w:val="left" w:pos="3656"/>
          <w:tab w:val="left" w:pos="4376"/>
          <w:tab w:val="left" w:pos="5096"/>
          <w:tab w:val="left" w:pos="5816"/>
          <w:tab w:val="left" w:pos="6536"/>
          <w:tab w:val="left" w:pos="7256"/>
          <w:tab w:val="left" w:pos="7976"/>
        </w:tabs>
        <w:ind w:left="56"/>
        <w:jc w:val="both"/>
        <w:rPr>
          <w:rFonts w:ascii="Arial" w:hAnsi="Arial" w:cs="Arial"/>
          <w:bCs/>
        </w:rPr>
      </w:pPr>
    </w:p>
    <w:p w:rsidR="003F67D5" w:rsidRPr="005D4D98" w:rsidRDefault="003F67D5" w:rsidP="003F67D5">
      <w:pPr>
        <w:tabs>
          <w:tab w:val="left" w:pos="-1384"/>
          <w:tab w:val="left" w:pos="-664"/>
          <w:tab w:val="left" w:pos="56"/>
          <w:tab w:val="left" w:pos="776"/>
          <w:tab w:val="left" w:pos="1496"/>
          <w:tab w:val="left" w:pos="2216"/>
          <w:tab w:val="left" w:pos="2936"/>
          <w:tab w:val="left" w:pos="3656"/>
          <w:tab w:val="left" w:pos="4376"/>
          <w:tab w:val="left" w:pos="5096"/>
          <w:tab w:val="left" w:pos="5816"/>
          <w:tab w:val="left" w:pos="6536"/>
          <w:tab w:val="left" w:pos="7256"/>
          <w:tab w:val="left" w:pos="7976"/>
        </w:tabs>
        <w:ind w:left="56"/>
        <w:jc w:val="both"/>
        <w:rPr>
          <w:rFonts w:ascii="Arial" w:hAnsi="Arial" w:cs="Arial"/>
        </w:rPr>
      </w:pPr>
      <w:r w:rsidRPr="005D4D98">
        <w:rPr>
          <w:rFonts w:ascii="Arial" w:hAnsi="Arial" w:cs="Arial"/>
          <w:bCs/>
        </w:rPr>
        <w:t xml:space="preserve">Las multas que imponga </w:t>
      </w:r>
      <w:r w:rsidR="005A3323">
        <w:rPr>
          <w:rFonts w:ascii="Arial" w:hAnsi="Arial" w:cs="Arial"/>
          <w:bCs/>
        </w:rPr>
        <w:t>el</w:t>
      </w:r>
      <w:r w:rsidRPr="005D4D98">
        <w:rPr>
          <w:rFonts w:ascii="Arial" w:hAnsi="Arial" w:cs="Arial"/>
          <w:bCs/>
        </w:rPr>
        <w:t xml:space="preserve"> </w:t>
      </w:r>
      <w:r w:rsidR="005A3323">
        <w:rPr>
          <w:rFonts w:ascii="Arial" w:hAnsi="Arial" w:cs="Arial"/>
        </w:rPr>
        <w:t>Instituto</w:t>
      </w:r>
      <w:r w:rsidRPr="005D4D98">
        <w:rPr>
          <w:rFonts w:ascii="Arial" w:hAnsi="Arial" w:cs="Arial"/>
        </w:rPr>
        <w:t xml:space="preserve"> tendrán el carácter de créditos fiscales, y las remitirá a la Secretaría de Finanzas y de Administración, para que las haga efectivas conforme a las disposiciones legales aplicables. </w:t>
      </w:r>
    </w:p>
    <w:p w:rsidR="003F67D5" w:rsidRPr="005D4D98" w:rsidRDefault="003F67D5" w:rsidP="003F67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D4D98">
        <w:rPr>
          <w:rFonts w:ascii="Arial" w:hAnsi="Arial" w:cs="Arial"/>
          <w:color w:val="000000"/>
        </w:rPr>
        <w:t>Las sanciones se aplicarán de conformidad con los siguientes criterios:</w:t>
      </w:r>
    </w:p>
    <w:p w:rsidR="003F67D5" w:rsidRPr="005D4D98" w:rsidRDefault="003F67D5" w:rsidP="003F67D5">
      <w:pPr>
        <w:numPr>
          <w:ilvl w:val="0"/>
          <w:numId w:val="12"/>
        </w:numPr>
        <w:tabs>
          <w:tab w:val="clear" w:pos="1080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color w:val="000000"/>
        </w:rPr>
      </w:pPr>
      <w:r w:rsidRPr="005D4D98">
        <w:rPr>
          <w:rFonts w:ascii="Arial" w:hAnsi="Arial" w:cs="Arial"/>
          <w:color w:val="000000"/>
        </w:rPr>
        <w:t>La gravedad de la falta cometida y la conveniencia de suprimir prácticas que atenten contra la transparencia, el acceso a la información pública o a la protección de datos;</w:t>
      </w:r>
    </w:p>
    <w:p w:rsidR="003F67D5" w:rsidRPr="005D4D98" w:rsidRDefault="003F67D5" w:rsidP="003F67D5">
      <w:pPr>
        <w:numPr>
          <w:ilvl w:val="0"/>
          <w:numId w:val="12"/>
        </w:numPr>
        <w:tabs>
          <w:tab w:val="clear" w:pos="1080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color w:val="000000"/>
        </w:rPr>
      </w:pPr>
      <w:r w:rsidRPr="005D4D98">
        <w:rPr>
          <w:rFonts w:ascii="Arial" w:hAnsi="Arial" w:cs="Arial"/>
          <w:color w:val="000000"/>
        </w:rPr>
        <w:t>Las circunstancias y condiciones del incumplimiento a la ley;</w:t>
      </w:r>
    </w:p>
    <w:p w:rsidR="003F67D5" w:rsidRPr="005D4D98" w:rsidRDefault="003F67D5" w:rsidP="003F67D5">
      <w:pPr>
        <w:numPr>
          <w:ilvl w:val="0"/>
          <w:numId w:val="12"/>
        </w:numPr>
        <w:tabs>
          <w:tab w:val="clear" w:pos="1080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color w:val="000000"/>
        </w:rPr>
      </w:pPr>
      <w:r w:rsidRPr="005D4D98">
        <w:rPr>
          <w:rFonts w:ascii="Arial" w:hAnsi="Arial" w:cs="Arial"/>
          <w:color w:val="000000"/>
        </w:rPr>
        <w:lastRenderedPageBreak/>
        <w:t>La reincidencia por parte del sujeto obligado en el incumplimiento a las obligaciones en materia de transparencia, el acceso a la información pública y la protección de datos personales;</w:t>
      </w:r>
    </w:p>
    <w:p w:rsidR="003F67D5" w:rsidRPr="005D4D98" w:rsidRDefault="003F67D5" w:rsidP="003F67D5">
      <w:pPr>
        <w:numPr>
          <w:ilvl w:val="0"/>
          <w:numId w:val="12"/>
        </w:numPr>
        <w:tabs>
          <w:tab w:val="clear" w:pos="1080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color w:val="000000"/>
        </w:rPr>
      </w:pPr>
      <w:r w:rsidRPr="005D4D98">
        <w:rPr>
          <w:rFonts w:ascii="Arial" w:hAnsi="Arial" w:cs="Arial"/>
          <w:color w:val="000000"/>
        </w:rPr>
        <w:t>Se considerará reincidente el sujeto obligado que incurra más de una vez en alguna o algunas de las conductas que se señalan en el artículo anterior; y</w:t>
      </w:r>
    </w:p>
    <w:p w:rsidR="003F67D5" w:rsidRPr="005D4D98" w:rsidRDefault="003F67D5" w:rsidP="00F7474D">
      <w:pPr>
        <w:numPr>
          <w:ilvl w:val="0"/>
          <w:numId w:val="12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5D4D98">
        <w:rPr>
          <w:rFonts w:ascii="Arial" w:hAnsi="Arial" w:cs="Arial"/>
          <w:color w:val="000000"/>
        </w:rPr>
        <w:t>El carácter intencional o negligente de la acción u omisión constitutiva de la falta cometida por el sujeto obligado.</w:t>
      </w:r>
    </w:p>
    <w:p w:rsidR="00F7474D" w:rsidRDefault="00F7474D" w:rsidP="00F7474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</w:rPr>
      </w:pPr>
    </w:p>
    <w:p w:rsidR="003F67D5" w:rsidRDefault="003F67D5" w:rsidP="003F67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D4D98">
        <w:rPr>
          <w:rFonts w:ascii="Arial" w:hAnsi="Arial" w:cs="Arial"/>
          <w:color w:val="000000"/>
        </w:rPr>
        <w:t>Las responsabilidades administrativas que se generen por el incumplimiento de las obligaciones que se señalan en la ley</w:t>
      </w:r>
      <w:r>
        <w:rPr>
          <w:rFonts w:ascii="Arial" w:hAnsi="Arial" w:cs="Arial"/>
          <w:color w:val="000000"/>
        </w:rPr>
        <w:t xml:space="preserve"> de la materia</w:t>
      </w:r>
      <w:r w:rsidRPr="005D4D98">
        <w:rPr>
          <w:rFonts w:ascii="Arial" w:hAnsi="Arial" w:cs="Arial"/>
          <w:color w:val="000000"/>
        </w:rPr>
        <w:t>, son independientes de aquellas del orden civil o penal que procedan, así como de los procedimientos de responsabilidad que corresponda instruir a los superiores jerárquicos de los responsables de conformidad con la Ley de Responsabilidades de los Servidores Públicos del Estado y de los Municipios, y los procedimientos para el resarcimiento del daño ocasionado por el sujeto obligado</w:t>
      </w:r>
      <w:r>
        <w:rPr>
          <w:rFonts w:ascii="Arial" w:hAnsi="Arial" w:cs="Arial"/>
          <w:color w:val="000000"/>
        </w:rPr>
        <w:t>.</w:t>
      </w:r>
    </w:p>
    <w:p w:rsidR="003F67D5" w:rsidRDefault="003F67D5" w:rsidP="003F67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información de </w:t>
      </w:r>
      <w:r w:rsidRPr="000772BE">
        <w:rPr>
          <w:rFonts w:ascii="Arial" w:hAnsi="Arial" w:cs="Arial"/>
          <w:b/>
          <w:color w:val="000000"/>
          <w:u w:val="single"/>
        </w:rPr>
        <w:t>la</w:t>
      </w:r>
      <w:r w:rsidR="00F7474D">
        <w:rPr>
          <w:rFonts w:ascii="Arial" w:hAnsi="Arial" w:cs="Arial"/>
          <w:b/>
          <w:color w:val="000000"/>
          <w:u w:val="single"/>
        </w:rPr>
        <w:t>s resoluciones</w:t>
      </w:r>
      <w:r w:rsidRPr="000772BE">
        <w:rPr>
          <w:rFonts w:ascii="Arial" w:hAnsi="Arial" w:cs="Arial"/>
          <w:b/>
          <w:color w:val="000000"/>
          <w:u w:val="single"/>
        </w:rPr>
        <w:t xml:space="preserve"> incumplida</w:t>
      </w:r>
      <w:r w:rsidR="00F7474D">
        <w:rPr>
          <w:rFonts w:ascii="Arial" w:hAnsi="Arial" w:cs="Arial"/>
          <w:b/>
          <w:color w:val="000000"/>
          <w:u w:val="single"/>
        </w:rPr>
        <w:t>s</w:t>
      </w:r>
      <w:r>
        <w:rPr>
          <w:rFonts w:ascii="Arial" w:hAnsi="Arial" w:cs="Arial"/>
          <w:color w:val="000000"/>
        </w:rPr>
        <w:t xml:space="preserve"> es la siguiente:</w:t>
      </w:r>
    </w:p>
    <w:p w:rsidR="003F67D5" w:rsidRDefault="003F67D5" w:rsidP="003F67D5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3F67D5" w:rsidRPr="00A81D74" w:rsidRDefault="003F67D5" w:rsidP="003F67D5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A81D74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Año 2015</w:t>
      </w:r>
    </w:p>
    <w:p w:rsidR="003F67D5" w:rsidRPr="00A81D74" w:rsidRDefault="003F67D5" w:rsidP="003F67D5">
      <w:pPr>
        <w:shd w:val="clear" w:color="auto" w:fill="FFFFFF"/>
        <w:spacing w:after="0"/>
        <w:jc w:val="center"/>
        <w:rPr>
          <w:rFonts w:ascii="Arial" w:eastAsia="Times New Roman" w:hAnsi="Arial" w:cs="Arial"/>
          <w:bCs/>
          <w:sz w:val="20"/>
          <w:szCs w:val="20"/>
          <w:lang w:eastAsia="es-MX"/>
        </w:rPr>
      </w:pPr>
      <w:r w:rsidRPr="00A81D74">
        <w:rPr>
          <w:rFonts w:ascii="Arial" w:eastAsia="Times New Roman" w:hAnsi="Arial" w:cs="Arial"/>
          <w:bCs/>
          <w:sz w:val="20"/>
          <w:szCs w:val="20"/>
          <w:lang w:eastAsia="es-MX"/>
        </w:rPr>
        <w:t>Recursos de Revisión Presentados</w:t>
      </w:r>
      <w:r>
        <w:rPr>
          <w:rFonts w:ascii="Arial" w:eastAsia="Times New Roman" w:hAnsi="Arial" w:cs="Arial"/>
          <w:bCs/>
          <w:sz w:val="20"/>
          <w:szCs w:val="20"/>
          <w:lang w:eastAsia="es-MX"/>
        </w:rPr>
        <w:t>:</w:t>
      </w:r>
      <w:r w:rsidRPr="00A81D74">
        <w:rPr>
          <w:rFonts w:ascii="Arial" w:eastAsia="Times New Roman" w:hAnsi="Arial" w:cs="Arial"/>
          <w:bCs/>
          <w:sz w:val="20"/>
          <w:szCs w:val="20"/>
          <w:lang w:eastAsia="es-MX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es-MX"/>
        </w:rPr>
        <w:t>96</w:t>
      </w:r>
    </w:p>
    <w:p w:rsidR="003F67D5" w:rsidRPr="00A81D74" w:rsidRDefault="003F67D5" w:rsidP="003F67D5">
      <w:pPr>
        <w:shd w:val="clear" w:color="auto" w:fill="FFFFFF"/>
        <w:spacing w:after="0"/>
        <w:jc w:val="center"/>
        <w:rPr>
          <w:rFonts w:ascii="Arial" w:eastAsia="Times New Roman" w:hAnsi="Arial" w:cs="Arial"/>
          <w:bCs/>
          <w:sz w:val="20"/>
          <w:szCs w:val="20"/>
          <w:lang w:eastAsia="es-MX"/>
        </w:rPr>
      </w:pPr>
      <w:r w:rsidRPr="00A81D74">
        <w:rPr>
          <w:rFonts w:ascii="Arial" w:eastAsia="Times New Roman" w:hAnsi="Arial" w:cs="Arial"/>
          <w:bCs/>
          <w:sz w:val="20"/>
          <w:szCs w:val="20"/>
          <w:lang w:eastAsia="es-MX"/>
        </w:rPr>
        <w:t>Resoluciones Incumplidas: 1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544"/>
        <w:gridCol w:w="1843"/>
        <w:gridCol w:w="1782"/>
      </w:tblGrid>
      <w:tr w:rsidR="003F67D5" w:rsidRPr="00A81D74" w:rsidTr="006379B0">
        <w:tc>
          <w:tcPr>
            <w:tcW w:w="1701" w:type="dxa"/>
          </w:tcPr>
          <w:p w:rsidR="003F67D5" w:rsidRPr="00A81D74" w:rsidRDefault="003F67D5" w:rsidP="006379B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A81D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3544" w:type="dxa"/>
          </w:tcPr>
          <w:p w:rsidR="003F67D5" w:rsidRPr="00A81D74" w:rsidRDefault="003F67D5" w:rsidP="006379B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A81D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INCUMPLIMIENTO</w:t>
            </w:r>
          </w:p>
        </w:tc>
        <w:tc>
          <w:tcPr>
            <w:tcW w:w="1843" w:type="dxa"/>
          </w:tcPr>
          <w:p w:rsidR="003F67D5" w:rsidRPr="00A81D74" w:rsidRDefault="003F67D5" w:rsidP="006379B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A81D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APERCIBE</w:t>
            </w:r>
          </w:p>
        </w:tc>
        <w:tc>
          <w:tcPr>
            <w:tcW w:w="1782" w:type="dxa"/>
          </w:tcPr>
          <w:p w:rsidR="003F67D5" w:rsidRPr="00A81D74" w:rsidRDefault="003F67D5" w:rsidP="006379B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A81D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MULTA</w:t>
            </w:r>
          </w:p>
        </w:tc>
      </w:tr>
      <w:tr w:rsidR="003F67D5" w:rsidRPr="00A81D74" w:rsidTr="006379B0">
        <w:tc>
          <w:tcPr>
            <w:tcW w:w="1701" w:type="dxa"/>
          </w:tcPr>
          <w:p w:rsidR="003F67D5" w:rsidRPr="00A81D74" w:rsidRDefault="003F67D5" w:rsidP="006379B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A81D74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RR/002/15</w:t>
            </w:r>
          </w:p>
        </w:tc>
        <w:tc>
          <w:tcPr>
            <w:tcW w:w="3544" w:type="dxa"/>
          </w:tcPr>
          <w:p w:rsidR="003F67D5" w:rsidRPr="00A81D74" w:rsidRDefault="003F67D5" w:rsidP="006379B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A81D74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No entregó copia de la nómina municipal completa de Lerdo, Dgo.</w:t>
            </w:r>
          </w:p>
        </w:tc>
        <w:tc>
          <w:tcPr>
            <w:tcW w:w="1843" w:type="dxa"/>
          </w:tcPr>
          <w:p w:rsidR="003F67D5" w:rsidRPr="00A81D74" w:rsidRDefault="003F67D5" w:rsidP="006379B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A81D74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04/02/15</w:t>
            </w:r>
          </w:p>
        </w:tc>
        <w:tc>
          <w:tcPr>
            <w:tcW w:w="1782" w:type="dxa"/>
          </w:tcPr>
          <w:p w:rsidR="003F67D5" w:rsidRPr="00A81D74" w:rsidRDefault="003F67D5" w:rsidP="006379B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A81D74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11/02/15</w:t>
            </w:r>
          </w:p>
          <w:p w:rsidR="003F67D5" w:rsidRPr="00A81D74" w:rsidRDefault="003F67D5" w:rsidP="006379B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A81D74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50 días salario mínimo.</w:t>
            </w:r>
          </w:p>
        </w:tc>
      </w:tr>
    </w:tbl>
    <w:p w:rsidR="00F7474D" w:rsidRDefault="00F7474D" w:rsidP="00F0490C">
      <w:pPr>
        <w:spacing w:line="240" w:lineRule="auto"/>
        <w:jc w:val="both"/>
        <w:rPr>
          <w:rFonts w:ascii="Arial" w:hAnsi="Arial" w:cs="Arial"/>
        </w:rPr>
      </w:pPr>
    </w:p>
    <w:p w:rsidR="007B51B6" w:rsidRPr="00F0490C" w:rsidRDefault="00A54B03" w:rsidP="00F0490C">
      <w:pPr>
        <w:spacing w:line="240" w:lineRule="auto"/>
        <w:jc w:val="both"/>
        <w:rPr>
          <w:rFonts w:ascii="Arial" w:hAnsi="Arial" w:cs="Arial"/>
          <w:lang w:val="es-ES"/>
        </w:rPr>
      </w:pPr>
      <w:r w:rsidRPr="00F0490C">
        <w:rPr>
          <w:rFonts w:ascii="Arial" w:hAnsi="Arial" w:cs="Arial"/>
        </w:rPr>
        <w:t>E</w:t>
      </w:r>
      <w:r w:rsidR="007B51B6" w:rsidRPr="00F0490C">
        <w:rPr>
          <w:rFonts w:ascii="Arial" w:hAnsi="Arial" w:cs="Arial"/>
        </w:rPr>
        <w:t xml:space="preserve">sperando haber atendido de manera satisfactoria su solicitud de información, le comunico </w:t>
      </w:r>
      <w:r w:rsidR="007B51B6" w:rsidRPr="00F0490C">
        <w:rPr>
          <w:rFonts w:ascii="Arial" w:hAnsi="Arial" w:cs="Arial"/>
          <w:lang w:val="es-ES"/>
        </w:rPr>
        <w:t xml:space="preserve">que en caso de no estar conforme con la respuesta otorgada, podrá interponer </w:t>
      </w:r>
      <w:r w:rsidR="00E16D12" w:rsidRPr="00F0490C">
        <w:rPr>
          <w:rFonts w:ascii="Arial" w:hAnsi="Arial" w:cs="Arial"/>
          <w:lang w:val="es-ES"/>
        </w:rPr>
        <w:t xml:space="preserve">su </w:t>
      </w:r>
      <w:r w:rsidR="007B51B6" w:rsidRPr="00F0490C">
        <w:rPr>
          <w:rFonts w:ascii="Arial" w:hAnsi="Arial" w:cs="Arial"/>
          <w:lang w:val="es-ES"/>
        </w:rPr>
        <w:t>Recurso de Revisión ante est</w:t>
      </w:r>
      <w:r w:rsidR="00056E15" w:rsidRPr="00F0490C">
        <w:rPr>
          <w:rFonts w:ascii="Arial" w:hAnsi="Arial" w:cs="Arial"/>
          <w:lang w:val="es-ES"/>
        </w:rPr>
        <w:t>e</w:t>
      </w:r>
      <w:r w:rsidR="007B51B6" w:rsidRPr="00F0490C">
        <w:rPr>
          <w:rFonts w:ascii="Arial" w:hAnsi="Arial" w:cs="Arial"/>
          <w:lang w:val="es-ES"/>
        </w:rPr>
        <w:t xml:space="preserve"> Instituto, dentro de los diez día hábiles siguientes a la notificación del presente escrito, de manera verbal, por correo electrónico o por el sistema electrónico </w:t>
      </w:r>
      <w:r w:rsidR="00E16D12" w:rsidRPr="00F0490C">
        <w:rPr>
          <w:rFonts w:ascii="Arial" w:hAnsi="Arial" w:cs="Arial"/>
          <w:lang w:val="es-ES"/>
        </w:rPr>
        <w:t>INFOMEX-DURANGO</w:t>
      </w:r>
      <w:r w:rsidR="007B51B6" w:rsidRPr="00F0490C">
        <w:rPr>
          <w:rFonts w:ascii="Arial" w:hAnsi="Arial" w:cs="Arial"/>
          <w:lang w:val="es-ES"/>
        </w:rPr>
        <w:t>, en términos de lo dispuesto por los artículos 56, 74 y 75 de la Ley de la materia.</w:t>
      </w:r>
    </w:p>
    <w:p w:rsidR="007B51B6" w:rsidRPr="00F0490C" w:rsidRDefault="007B51B6" w:rsidP="00F0490C">
      <w:pPr>
        <w:spacing w:line="240" w:lineRule="auto"/>
        <w:jc w:val="both"/>
        <w:rPr>
          <w:rFonts w:ascii="Arial" w:hAnsi="Arial" w:cs="Arial"/>
          <w:lang w:val="es-ES"/>
        </w:rPr>
      </w:pPr>
      <w:r w:rsidRPr="00F0490C">
        <w:rPr>
          <w:rFonts w:ascii="Arial" w:hAnsi="Arial" w:cs="Arial"/>
          <w:lang w:val="es-ES"/>
        </w:rPr>
        <w:t xml:space="preserve">Asimismo, de requerir orientación o asesoría en el ejercicio del derecho de acceso </w:t>
      </w:r>
      <w:r w:rsidR="00E66001" w:rsidRPr="00F0490C">
        <w:rPr>
          <w:rFonts w:ascii="Arial" w:hAnsi="Arial" w:cs="Arial"/>
          <w:lang w:val="es-ES"/>
        </w:rPr>
        <w:t>a la información pública, puede comunicarse vía telefónica con l</w:t>
      </w:r>
      <w:r w:rsidR="00E16D12" w:rsidRPr="00F0490C">
        <w:rPr>
          <w:rFonts w:ascii="Arial" w:hAnsi="Arial" w:cs="Arial"/>
          <w:lang w:val="es-ES"/>
        </w:rPr>
        <w:t>a</w:t>
      </w:r>
      <w:r w:rsidR="002D71C8" w:rsidRPr="00F0490C">
        <w:rPr>
          <w:rFonts w:ascii="Arial" w:hAnsi="Arial" w:cs="Arial"/>
          <w:lang w:val="es-ES"/>
        </w:rPr>
        <w:t xml:space="preserve"> suscrita</w:t>
      </w:r>
      <w:r w:rsidR="00E66001" w:rsidRPr="00F0490C">
        <w:rPr>
          <w:rFonts w:ascii="Arial" w:hAnsi="Arial" w:cs="Arial"/>
          <w:lang w:val="es-ES"/>
        </w:rPr>
        <w:t xml:space="preserve"> al (618) 811 77 12 o </w:t>
      </w:r>
      <w:r w:rsidR="00E16D12" w:rsidRPr="00F0490C">
        <w:rPr>
          <w:rFonts w:ascii="Arial" w:hAnsi="Arial" w:cs="Arial"/>
          <w:lang w:val="es-ES"/>
        </w:rPr>
        <w:t xml:space="preserve">al </w:t>
      </w:r>
      <w:r w:rsidR="00E66001" w:rsidRPr="00F0490C">
        <w:rPr>
          <w:rFonts w:ascii="Arial" w:hAnsi="Arial" w:cs="Arial"/>
          <w:lang w:val="es-ES"/>
        </w:rPr>
        <w:t xml:space="preserve">01800 581 72 92, </w:t>
      </w:r>
      <w:proofErr w:type="spellStart"/>
      <w:r w:rsidR="00E16D12" w:rsidRPr="00F0490C">
        <w:rPr>
          <w:rFonts w:ascii="Arial" w:hAnsi="Arial" w:cs="Arial"/>
          <w:lang w:val="es-ES"/>
        </w:rPr>
        <w:t>ó</w:t>
      </w:r>
      <w:proofErr w:type="spellEnd"/>
      <w:r w:rsidR="00E66001" w:rsidRPr="00F0490C">
        <w:rPr>
          <w:rFonts w:ascii="Arial" w:hAnsi="Arial" w:cs="Arial"/>
          <w:lang w:val="es-ES"/>
        </w:rPr>
        <w:t xml:space="preserve"> por correo electrónico a </w:t>
      </w:r>
      <w:hyperlink r:id="rId8" w:history="1">
        <w:r w:rsidR="00E66001" w:rsidRPr="00F0490C">
          <w:rPr>
            <w:rStyle w:val="Hipervnculo"/>
            <w:rFonts w:ascii="Arial" w:hAnsi="Arial" w:cs="Arial"/>
            <w:lang w:val="es-ES"/>
          </w:rPr>
          <w:t>buzon@idaip.org.mx</w:t>
        </w:r>
      </w:hyperlink>
      <w:r w:rsidR="00E66001" w:rsidRPr="00F0490C">
        <w:rPr>
          <w:rFonts w:ascii="Arial" w:hAnsi="Arial" w:cs="Arial"/>
          <w:lang w:val="es-ES"/>
        </w:rPr>
        <w:t>.</w:t>
      </w:r>
    </w:p>
    <w:p w:rsidR="00735EA9" w:rsidRDefault="004209C4" w:rsidP="00F0490C">
      <w:pPr>
        <w:spacing w:line="240" w:lineRule="auto"/>
        <w:jc w:val="both"/>
        <w:rPr>
          <w:rFonts w:ascii="Arial" w:hAnsi="Arial" w:cs="Arial"/>
        </w:rPr>
      </w:pPr>
      <w:r w:rsidRPr="00F0490C">
        <w:rPr>
          <w:rFonts w:ascii="Arial" w:hAnsi="Arial" w:cs="Arial"/>
        </w:rPr>
        <w:t>Se emite la respuesta anterior con fundamento en lo dispuesto por los artículos 55 y 56 de la Ley de Transparencia y Acceso a la Información Pública del Estado de Durango.</w:t>
      </w:r>
    </w:p>
    <w:p w:rsidR="00B74956" w:rsidRDefault="00B74956" w:rsidP="006011CF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:rsidR="00E66001" w:rsidRPr="00F0490C" w:rsidRDefault="00E66001" w:rsidP="006011CF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F0490C">
        <w:rPr>
          <w:rFonts w:ascii="Arial" w:hAnsi="Arial" w:cs="Arial"/>
          <w:b/>
          <w:lang w:val="pt-BR"/>
        </w:rPr>
        <w:t>A T E N T A M E N T E</w:t>
      </w:r>
    </w:p>
    <w:p w:rsidR="00B74956" w:rsidRPr="00B74956" w:rsidRDefault="00B74956" w:rsidP="006011CF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:rsidR="00E66001" w:rsidRPr="00F0490C" w:rsidRDefault="00E16D12" w:rsidP="006011CF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F0490C">
        <w:rPr>
          <w:rFonts w:ascii="Arial" w:hAnsi="Arial" w:cs="Arial"/>
          <w:b/>
          <w:lang w:val="es-ES"/>
        </w:rPr>
        <w:t>ALMA CRISTINA LÓPEZ DE LA TORRE</w:t>
      </w:r>
    </w:p>
    <w:p w:rsidR="00E66001" w:rsidRPr="00F0490C" w:rsidRDefault="00E66001" w:rsidP="00F0490C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F0490C">
        <w:rPr>
          <w:rFonts w:ascii="Arial" w:hAnsi="Arial" w:cs="Arial"/>
          <w:b/>
          <w:lang w:val="es-ES"/>
        </w:rPr>
        <w:t>UNIDAD DE ENLACE DEL IDAIP</w:t>
      </w:r>
    </w:p>
    <w:sectPr w:rsidR="00E66001" w:rsidRPr="00F0490C" w:rsidSect="00735EA9">
      <w:headerReference w:type="default" r:id="rId9"/>
      <w:pgSz w:w="12240" w:h="15840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306" w:rsidRDefault="00AC4306" w:rsidP="00790CB1">
      <w:pPr>
        <w:spacing w:after="0" w:line="240" w:lineRule="auto"/>
      </w:pPr>
      <w:r>
        <w:separator/>
      </w:r>
    </w:p>
  </w:endnote>
  <w:endnote w:type="continuationSeparator" w:id="0">
    <w:p w:rsidR="00AC4306" w:rsidRDefault="00AC4306" w:rsidP="00790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306" w:rsidRDefault="00AC4306" w:rsidP="00790CB1">
      <w:pPr>
        <w:spacing w:after="0" w:line="240" w:lineRule="auto"/>
      </w:pPr>
      <w:r>
        <w:separator/>
      </w:r>
    </w:p>
  </w:footnote>
  <w:footnote w:type="continuationSeparator" w:id="0">
    <w:p w:rsidR="00AC4306" w:rsidRDefault="00AC4306" w:rsidP="00790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CB1" w:rsidRDefault="00790CB1">
    <w:pPr>
      <w:pStyle w:val="Encabezado"/>
    </w:pPr>
    <w:r>
      <w:rPr>
        <w:noProof/>
        <w:lang w:eastAsia="es-MX"/>
      </w:rPr>
      <w:drawing>
        <wp:inline distT="0" distB="0" distL="0" distR="0" wp14:anchorId="139DA3F5">
          <wp:extent cx="1943100" cy="8858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60C20"/>
    <w:multiLevelType w:val="hybridMultilevel"/>
    <w:tmpl w:val="FBCC8DF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95AAD"/>
    <w:multiLevelType w:val="hybridMultilevel"/>
    <w:tmpl w:val="E34A36D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47308"/>
    <w:multiLevelType w:val="hybridMultilevel"/>
    <w:tmpl w:val="95DED2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A7A7F"/>
    <w:multiLevelType w:val="hybridMultilevel"/>
    <w:tmpl w:val="60B6838A"/>
    <w:lvl w:ilvl="0" w:tplc="52A034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92385"/>
    <w:multiLevelType w:val="hybridMultilevel"/>
    <w:tmpl w:val="A7B44CE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2662BD"/>
    <w:multiLevelType w:val="hybridMultilevel"/>
    <w:tmpl w:val="FCBE9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A2EC4"/>
    <w:multiLevelType w:val="hybridMultilevel"/>
    <w:tmpl w:val="7E4800EA"/>
    <w:lvl w:ilvl="0" w:tplc="D40437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80C58"/>
    <w:multiLevelType w:val="hybridMultilevel"/>
    <w:tmpl w:val="7AC2CB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315F78"/>
    <w:multiLevelType w:val="hybridMultilevel"/>
    <w:tmpl w:val="AA54F6D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70A1ABE"/>
    <w:multiLevelType w:val="hybridMultilevel"/>
    <w:tmpl w:val="59C2D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EA64D7"/>
    <w:multiLevelType w:val="hybridMultilevel"/>
    <w:tmpl w:val="CD607966"/>
    <w:lvl w:ilvl="0" w:tplc="07709D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F343A3"/>
    <w:multiLevelType w:val="hybridMultilevel"/>
    <w:tmpl w:val="2DB610C0"/>
    <w:lvl w:ilvl="0" w:tplc="07709D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4C5B06"/>
    <w:multiLevelType w:val="hybridMultilevel"/>
    <w:tmpl w:val="D39CC3EE"/>
    <w:lvl w:ilvl="0" w:tplc="20664C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9"/>
  </w:num>
  <w:num w:numId="7">
    <w:abstractNumId w:val="12"/>
  </w:num>
  <w:num w:numId="8">
    <w:abstractNumId w:val="4"/>
  </w:num>
  <w:num w:numId="9">
    <w:abstractNumId w:val="5"/>
  </w:num>
  <w:num w:numId="10">
    <w:abstractNumId w:val="2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AF"/>
    <w:rsid w:val="00056E15"/>
    <w:rsid w:val="000706FA"/>
    <w:rsid w:val="00074129"/>
    <w:rsid w:val="00086829"/>
    <w:rsid w:val="000B5452"/>
    <w:rsid w:val="000C0A46"/>
    <w:rsid w:val="000C2E4C"/>
    <w:rsid w:val="000C76B8"/>
    <w:rsid w:val="000E0AD4"/>
    <w:rsid w:val="001045C3"/>
    <w:rsid w:val="00106DEA"/>
    <w:rsid w:val="00134CA9"/>
    <w:rsid w:val="00175751"/>
    <w:rsid w:val="00182FB8"/>
    <w:rsid w:val="00190370"/>
    <w:rsid w:val="001A1D2C"/>
    <w:rsid w:val="00247FB0"/>
    <w:rsid w:val="00274B29"/>
    <w:rsid w:val="00281576"/>
    <w:rsid w:val="002D1BA7"/>
    <w:rsid w:val="002D3C75"/>
    <w:rsid w:val="002D3D6D"/>
    <w:rsid w:val="002D71C8"/>
    <w:rsid w:val="002F19EE"/>
    <w:rsid w:val="003068A8"/>
    <w:rsid w:val="00320D11"/>
    <w:rsid w:val="0032790A"/>
    <w:rsid w:val="00330AC8"/>
    <w:rsid w:val="00346B8D"/>
    <w:rsid w:val="0036550C"/>
    <w:rsid w:val="003747F8"/>
    <w:rsid w:val="003A099B"/>
    <w:rsid w:val="003C4D76"/>
    <w:rsid w:val="003E121A"/>
    <w:rsid w:val="003F0186"/>
    <w:rsid w:val="003F67D5"/>
    <w:rsid w:val="004209C4"/>
    <w:rsid w:val="00485437"/>
    <w:rsid w:val="00492D8F"/>
    <w:rsid w:val="004958B9"/>
    <w:rsid w:val="004A0A52"/>
    <w:rsid w:val="004C3BE1"/>
    <w:rsid w:val="00511EAE"/>
    <w:rsid w:val="00531510"/>
    <w:rsid w:val="00541F77"/>
    <w:rsid w:val="005429B4"/>
    <w:rsid w:val="00561012"/>
    <w:rsid w:val="00562A13"/>
    <w:rsid w:val="005A3323"/>
    <w:rsid w:val="005C2B3F"/>
    <w:rsid w:val="005D7E5F"/>
    <w:rsid w:val="005F229B"/>
    <w:rsid w:val="006011CF"/>
    <w:rsid w:val="00601BB4"/>
    <w:rsid w:val="00684A14"/>
    <w:rsid w:val="006C632D"/>
    <w:rsid w:val="006E2CD1"/>
    <w:rsid w:val="006F49B2"/>
    <w:rsid w:val="00711C8A"/>
    <w:rsid w:val="00714C99"/>
    <w:rsid w:val="00721D80"/>
    <w:rsid w:val="00731B8B"/>
    <w:rsid w:val="00735EA9"/>
    <w:rsid w:val="00741EEB"/>
    <w:rsid w:val="00747CC0"/>
    <w:rsid w:val="0075092F"/>
    <w:rsid w:val="007754CD"/>
    <w:rsid w:val="00790CB1"/>
    <w:rsid w:val="007A3B56"/>
    <w:rsid w:val="007B51B6"/>
    <w:rsid w:val="007D5D83"/>
    <w:rsid w:val="007E0630"/>
    <w:rsid w:val="007E51D5"/>
    <w:rsid w:val="00822B93"/>
    <w:rsid w:val="00823BB7"/>
    <w:rsid w:val="00832AE8"/>
    <w:rsid w:val="008C490D"/>
    <w:rsid w:val="008D7DC5"/>
    <w:rsid w:val="008F5647"/>
    <w:rsid w:val="009016A0"/>
    <w:rsid w:val="00907AD6"/>
    <w:rsid w:val="009149ED"/>
    <w:rsid w:val="00960FEA"/>
    <w:rsid w:val="009B05B6"/>
    <w:rsid w:val="009B4DAF"/>
    <w:rsid w:val="009B6178"/>
    <w:rsid w:val="009D474A"/>
    <w:rsid w:val="009E4BF3"/>
    <w:rsid w:val="009E76AF"/>
    <w:rsid w:val="00A31C05"/>
    <w:rsid w:val="00A32B81"/>
    <w:rsid w:val="00A54B03"/>
    <w:rsid w:val="00AA53DD"/>
    <w:rsid w:val="00AC4306"/>
    <w:rsid w:val="00AC5717"/>
    <w:rsid w:val="00AD6B0D"/>
    <w:rsid w:val="00AF6C01"/>
    <w:rsid w:val="00B02605"/>
    <w:rsid w:val="00B13B2C"/>
    <w:rsid w:val="00B144DD"/>
    <w:rsid w:val="00B15C99"/>
    <w:rsid w:val="00B35815"/>
    <w:rsid w:val="00B46A29"/>
    <w:rsid w:val="00B56202"/>
    <w:rsid w:val="00B644A9"/>
    <w:rsid w:val="00B74956"/>
    <w:rsid w:val="00B84702"/>
    <w:rsid w:val="00BD0AEB"/>
    <w:rsid w:val="00C12CEC"/>
    <w:rsid w:val="00C368BD"/>
    <w:rsid w:val="00C6711D"/>
    <w:rsid w:val="00C720A2"/>
    <w:rsid w:val="00C73A69"/>
    <w:rsid w:val="00C8257C"/>
    <w:rsid w:val="00CB142A"/>
    <w:rsid w:val="00CC4779"/>
    <w:rsid w:val="00CE366C"/>
    <w:rsid w:val="00CF2DB1"/>
    <w:rsid w:val="00D175AB"/>
    <w:rsid w:val="00D36CB4"/>
    <w:rsid w:val="00D4594C"/>
    <w:rsid w:val="00D4657E"/>
    <w:rsid w:val="00D54815"/>
    <w:rsid w:val="00D802AF"/>
    <w:rsid w:val="00D82405"/>
    <w:rsid w:val="00DB7214"/>
    <w:rsid w:val="00DD6C58"/>
    <w:rsid w:val="00DD7D5B"/>
    <w:rsid w:val="00DE1134"/>
    <w:rsid w:val="00E122D3"/>
    <w:rsid w:val="00E16D12"/>
    <w:rsid w:val="00E25081"/>
    <w:rsid w:val="00E439DD"/>
    <w:rsid w:val="00E475E0"/>
    <w:rsid w:val="00E545B6"/>
    <w:rsid w:val="00E56CA1"/>
    <w:rsid w:val="00E6278B"/>
    <w:rsid w:val="00E66001"/>
    <w:rsid w:val="00E93C16"/>
    <w:rsid w:val="00ED2B27"/>
    <w:rsid w:val="00F0490C"/>
    <w:rsid w:val="00F05099"/>
    <w:rsid w:val="00F25541"/>
    <w:rsid w:val="00F47D4A"/>
    <w:rsid w:val="00F52801"/>
    <w:rsid w:val="00F547A0"/>
    <w:rsid w:val="00F65EB6"/>
    <w:rsid w:val="00F7474D"/>
    <w:rsid w:val="00F81528"/>
    <w:rsid w:val="00FB3BA9"/>
    <w:rsid w:val="00FF0398"/>
    <w:rsid w:val="00FF1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5:docId w15:val="{B3CAB217-FF12-4477-A7BC-F52AF58C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2A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B51B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6600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70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823BB7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790C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0CB1"/>
  </w:style>
  <w:style w:type="paragraph" w:styleId="Piedepgina">
    <w:name w:val="footer"/>
    <w:basedOn w:val="Normal"/>
    <w:link w:val="PiedepginaCar"/>
    <w:uiPriority w:val="99"/>
    <w:unhideWhenUsed/>
    <w:rsid w:val="00790C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6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9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03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94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64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5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6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7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4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9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5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zon@idaip.org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78F9D-A35A-489C-9D4A-9AF3A1764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640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AUXILIAR_JURIDICO</cp:lastModifiedBy>
  <cp:revision>9</cp:revision>
  <cp:lastPrinted>2016-01-20T19:13:00Z</cp:lastPrinted>
  <dcterms:created xsi:type="dcterms:W3CDTF">2016-01-20T20:57:00Z</dcterms:created>
  <dcterms:modified xsi:type="dcterms:W3CDTF">2016-01-25T17:38:00Z</dcterms:modified>
</cp:coreProperties>
</file>